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2.0 -->
  <w:body>
    <w:p w:rsidR="00C811AF" w:rsidP="00C41304" w14:paraId="46BF9034" w14:textId="77777777">
      <w:pPr>
        <w:rPr>
          <w:rFonts w:ascii="Times New Roman" w:hAnsi="Times New Roman"/>
          <w:sz w:val="24"/>
          <w:szCs w:val="24"/>
        </w:rPr>
      </w:pPr>
    </w:p>
    <w:p w:rsidR="00AC107E" w:rsidP="00C41304" w14:paraId="3E0BE3A5" w14:textId="77777777">
      <w:pPr>
        <w:rPr>
          <w:rFonts w:ascii="Times New Roman" w:hAnsi="Times New Roman"/>
          <w:sz w:val="24"/>
          <w:szCs w:val="24"/>
        </w:rPr>
      </w:pPr>
    </w:p>
    <w:p w:rsidR="00AC107E" w:rsidP="00C41304" w14:paraId="69291917" w14:textId="77777777">
      <w:pPr>
        <w:rPr>
          <w:rFonts w:ascii="Times New Roman" w:hAnsi="Times New Roman"/>
          <w:sz w:val="24"/>
          <w:szCs w:val="24"/>
        </w:rPr>
      </w:pPr>
    </w:p>
    <w:p w:rsidR="00AC107E" w:rsidP="00C41304" w14:paraId="68B473A0" w14:textId="77777777">
      <w:pPr>
        <w:rPr>
          <w:rFonts w:ascii="Times New Roman" w:hAnsi="Times New Roman"/>
          <w:sz w:val="24"/>
          <w:szCs w:val="24"/>
        </w:rPr>
      </w:pPr>
    </w:p>
    <w:p w:rsidR="00AC107E" w:rsidP="00C41304" w14:paraId="6DC4AD05" w14:textId="77777777">
      <w:pPr>
        <w:rPr>
          <w:rFonts w:ascii="Times New Roman" w:hAnsi="Times New Roman"/>
          <w:sz w:val="24"/>
          <w:szCs w:val="24"/>
        </w:rPr>
      </w:pPr>
    </w:p>
    <w:p w:rsidR="00AC107E" w:rsidP="00C60BC2" w14:paraId="2D2E883C" w14:textId="04047467">
      <w:pPr>
        <w:jc w:val="center"/>
        <w:rPr>
          <w:rFonts w:ascii="Times New Roman" w:hAnsi="Times New Roman"/>
          <w:sz w:val="24"/>
          <w:szCs w:val="24"/>
        </w:rPr>
      </w:pPr>
      <w:r>
        <w:rPr>
          <w:rFonts w:ascii="Times New Roman" w:hAnsi="Times New Roman"/>
          <w:sz w:val="24"/>
          <w:szCs w:val="24"/>
        </w:rPr>
        <w:t>Rīgā</w:t>
      </w:r>
    </w:p>
    <w:tbl>
      <w:tblPr>
        <w:tblW w:w="0" w:type="auto"/>
        <w:tblLook w:val="04A0"/>
      </w:tblPr>
      <w:tblGrid>
        <w:gridCol w:w="2730"/>
        <w:gridCol w:w="560"/>
        <w:gridCol w:w="2483"/>
      </w:tblGrid>
      <w:tr w14:paraId="14A5DC26" w14:textId="77777777" w:rsidTr="00C60BC2">
        <w:tblPrEx>
          <w:tblW w:w="0" w:type="auto"/>
          <w:tblLook w:val="04A0"/>
        </w:tblPrEx>
        <w:tc>
          <w:tcPr>
            <w:tcW w:w="2670" w:type="dxa"/>
            <w:shd w:val="clear" w:color="auto" w:fill="auto"/>
            <w:hideMark/>
          </w:tcPr>
          <w:p w:rsidR="00EE2E14" w:rsidRPr="005D6933" w:rsidP="00FF5131" w14:paraId="6D2D4388" w14:textId="6E58DFE5">
            <w:pPr>
              <w:spacing w:after="0" w:line="240" w:lineRule="auto"/>
              <w:rPr>
                <w:rFonts w:ascii="Times New Roman" w:hAnsi="Times New Roman"/>
                <w:sz w:val="24"/>
                <w:u w:val="single"/>
              </w:rPr>
            </w:pPr>
            <w:r w:rsidR="00951500">
              <w:rPr>
                <w:rFonts w:ascii="Times New Roman" w:hAnsi="Times New Roman"/>
                <w:noProof/>
                <w:sz w:val="24"/>
                <w:u w:val="single"/>
              </w:rPr>
              <w:t>Datums skatāms</w:t>
            </w:r>
            <w:r>
              <w:rPr>
                <w:rFonts w:ascii="Times New Roman" w:hAnsi="Times New Roman"/>
                <w:noProof/>
                <w:sz w:val="24"/>
                <w:u w:val="single"/>
              </w:rPr>
              <w:t xml:space="preserve"> laika zīmogā</w:t>
            </w:r>
            <w:r w:rsidR="009C24D3">
              <w:rPr>
                <w:rFonts w:ascii="Times New Roman" w:hAnsi="Times New Roman"/>
                <w:sz w:val="24"/>
                <w:u w:val="single"/>
              </w:rPr>
              <w:t>.</w:t>
            </w:r>
            <w:r w:rsidRPr="005D6933" w:rsidR="00951500">
              <w:rPr>
                <w:rFonts w:ascii="Times New Roman" w:hAnsi="Times New Roman"/>
                <w:sz w:val="24"/>
                <w:u w:val="single"/>
              </w:rPr>
              <w:t xml:space="preserve"> </w:t>
            </w:r>
          </w:p>
        </w:tc>
        <w:tc>
          <w:tcPr>
            <w:tcW w:w="560" w:type="dxa"/>
            <w:shd w:val="clear" w:color="auto" w:fill="auto"/>
            <w:hideMark/>
          </w:tcPr>
          <w:p w:rsidR="00EE2E14" w:rsidRPr="006E2E2D" w:rsidP="00FF5131" w14:paraId="7C849B29" w14:textId="77777777">
            <w:pPr>
              <w:spacing w:after="0" w:line="240" w:lineRule="auto"/>
              <w:rPr>
                <w:rFonts w:ascii="Times New Roman" w:hAnsi="Times New Roman"/>
                <w:sz w:val="24"/>
                <w:u w:val="single"/>
              </w:rPr>
            </w:pPr>
            <w:r w:rsidRPr="006E2E2D">
              <w:rPr>
                <w:rFonts w:ascii="Times New Roman" w:hAnsi="Times New Roman"/>
                <w:sz w:val="24"/>
                <w:u w:val="single"/>
              </w:rPr>
              <w:t>Nr.</w:t>
            </w:r>
          </w:p>
        </w:tc>
        <w:tc>
          <w:tcPr>
            <w:tcW w:w="2483" w:type="dxa"/>
            <w:shd w:val="clear" w:color="auto" w:fill="auto"/>
            <w:hideMark/>
          </w:tcPr>
          <w:p w:rsidR="00EE2E14" w:rsidRPr="005D6933" w:rsidP="00FF5131" w14:paraId="06415D53" w14:textId="77777777">
            <w:pPr>
              <w:spacing w:after="0" w:line="240" w:lineRule="auto"/>
              <w:rPr>
                <w:rFonts w:ascii="Times New Roman" w:hAnsi="Times New Roman"/>
                <w:sz w:val="24"/>
                <w:u w:val="single"/>
              </w:rPr>
            </w:pPr>
            <w:r>
              <w:rPr>
                <w:rFonts w:ascii="Times New Roman" w:hAnsi="Times New Roman"/>
                <w:noProof/>
                <w:sz w:val="24"/>
                <w:u w:val="single"/>
              </w:rPr>
              <w:t>1-3.9/1369</w:t>
            </w:r>
          </w:p>
        </w:tc>
      </w:tr>
    </w:tbl>
    <w:p w:rsidR="00EE2E14" w:rsidP="00EE2E14" w14:paraId="534AC2A3" w14:textId="77777777">
      <w:pPr>
        <w:pStyle w:val="Header"/>
        <w:tabs>
          <w:tab w:val="left" w:pos="720"/>
        </w:tabs>
        <w:rPr>
          <w:rFonts w:ascii="Times New Roman" w:hAnsi="Times New Roman"/>
          <w:sz w:val="24"/>
          <w:szCs w:val="24"/>
        </w:rPr>
      </w:pPr>
    </w:p>
    <w:p w:rsidR="00EE2E14" w:rsidP="00B80752" w14:paraId="7619D1FC" w14:textId="1AF72281">
      <w:pPr>
        <w:pStyle w:val="Header"/>
        <w:tabs>
          <w:tab w:val="left" w:pos="720"/>
        </w:tabs>
        <w:ind w:left="4820"/>
        <w:jc w:val="right"/>
        <w:rPr>
          <w:rFonts w:ascii="Times New Roman" w:hAnsi="Times New Roman"/>
          <w:sz w:val="24"/>
          <w:szCs w:val="24"/>
        </w:rPr>
      </w:pPr>
      <w:r>
        <w:rPr>
          <w:rFonts w:ascii="Times New Roman" w:hAnsi="Times New Roman"/>
          <w:noProof/>
          <w:sz w:val="24"/>
          <w:szCs w:val="24"/>
        </w:rPr>
        <w:t>Latvijas Republikas Veselības ministrija Brīvības iela 72, Rīga, Latvija, LV-1011</w:t>
      </w:r>
    </w:p>
    <w:p w:rsidR="00EE2E14" w:rsidP="00B80752" w14:paraId="5799AA87" w14:textId="3C5175F0">
      <w:pPr>
        <w:pStyle w:val="Header"/>
        <w:tabs>
          <w:tab w:val="left" w:pos="720"/>
        </w:tabs>
        <w:ind w:left="4820"/>
        <w:jc w:val="right"/>
        <w:rPr>
          <w:rFonts w:ascii="Times New Roman" w:hAnsi="Times New Roman"/>
          <w:sz w:val="24"/>
          <w:szCs w:val="24"/>
        </w:rPr>
      </w:pPr>
      <w:r>
        <w:rPr>
          <w:rFonts w:ascii="Times New Roman" w:hAnsi="Times New Roman"/>
          <w:sz w:val="24"/>
          <w:szCs w:val="24"/>
        </w:rPr>
        <w:t>Reģ.nr.</w:t>
      </w:r>
      <w:r w:rsidR="00C1553D">
        <w:rPr>
          <w:rFonts w:ascii="Times New Roman" w:hAnsi="Times New Roman"/>
          <w:noProof/>
          <w:sz w:val="24"/>
          <w:szCs w:val="24"/>
        </w:rPr>
        <w:t>90001474921</w:t>
      </w:r>
    </w:p>
    <w:p w:rsidR="00B80752" w:rsidP="00EE2E14" w14:paraId="1C263B53" w14:textId="77777777">
      <w:pPr>
        <w:pStyle w:val="Header"/>
        <w:tabs>
          <w:tab w:val="left" w:pos="720"/>
        </w:tabs>
        <w:jc w:val="right"/>
        <w:rPr>
          <w:rFonts w:ascii="Times New Roman" w:hAnsi="Times New Roman"/>
          <w:sz w:val="24"/>
          <w:szCs w:val="24"/>
        </w:rPr>
      </w:pPr>
    </w:p>
    <w:p w:rsidR="00EE2E14" w:rsidP="00B80752" w14:paraId="3D2FF228" w14:textId="0DE9D06F">
      <w:pPr>
        <w:pStyle w:val="Header"/>
        <w:tabs>
          <w:tab w:val="left" w:pos="720"/>
        </w:tabs>
        <w:ind w:right="5245"/>
        <w:rPr>
          <w:rFonts w:ascii="Times New Roman" w:hAnsi="Times New Roman"/>
          <w:sz w:val="24"/>
          <w:szCs w:val="24"/>
        </w:rPr>
      </w:pPr>
      <w:r>
        <w:rPr>
          <w:rFonts w:ascii="Times New Roman" w:hAnsi="Times New Roman"/>
          <w:noProof/>
          <w:sz w:val="24"/>
          <w:szCs w:val="24"/>
        </w:rPr>
        <w:t>Par priekšlikumiem likumprojektam  “Grozījumi Ārstniecības likumā” (VSS - 838)</w:t>
      </w:r>
    </w:p>
    <w:p w:rsidR="00EE2E14" w:rsidP="00EE2E14" w14:paraId="7369BEB2" w14:textId="77777777">
      <w:pPr>
        <w:pStyle w:val="Header"/>
        <w:tabs>
          <w:tab w:val="left" w:pos="720"/>
        </w:tabs>
        <w:rPr>
          <w:rFonts w:ascii="Times New Roman" w:hAnsi="Times New Roman"/>
          <w:sz w:val="24"/>
          <w:szCs w:val="24"/>
        </w:rPr>
      </w:pPr>
    </w:p>
    <w:p w:rsidR="003634BA" w:rsidRPr="003634BA" w:rsidP="003634BA" w14:paraId="568091E6" w14:textId="5C191CB3">
      <w:pPr>
        <w:pStyle w:val="Header"/>
        <w:tabs>
          <w:tab w:val="left" w:pos="720"/>
        </w:tabs>
        <w:jc w:val="both"/>
        <w:rPr>
          <w:rFonts w:ascii="Times New Roman" w:hAnsi="Times New Roman"/>
          <w:sz w:val="24"/>
          <w:szCs w:val="24"/>
        </w:rPr>
      </w:pPr>
      <w:r>
        <w:rPr>
          <w:rFonts w:ascii="Times New Roman" w:hAnsi="Times New Roman"/>
          <w:sz w:val="24"/>
          <w:szCs w:val="24"/>
        </w:rPr>
        <w:tab/>
      </w:r>
      <w:r w:rsidRPr="003634BA">
        <w:rPr>
          <w:rFonts w:ascii="Times New Roman" w:hAnsi="Times New Roman"/>
          <w:sz w:val="24"/>
          <w:szCs w:val="24"/>
        </w:rPr>
        <w:t>Zāļu valsts aģentūra ir iepazinusies ar Veselības ministrijas izstrādāto likumprojektu “Grozījumi Ārstniecības likumā” (VSS-838) (turpmāk – likumprojekts) un izsaka šādus priekšlikumus:</w:t>
      </w:r>
    </w:p>
    <w:p w:rsidR="003634BA" w:rsidRPr="003634BA" w:rsidP="003634BA" w14:paraId="1D6A110E" w14:textId="77777777">
      <w:pPr>
        <w:pStyle w:val="Header"/>
        <w:tabs>
          <w:tab w:val="left" w:pos="720"/>
        </w:tabs>
        <w:jc w:val="both"/>
        <w:rPr>
          <w:rFonts w:ascii="Times New Roman" w:hAnsi="Times New Roman"/>
          <w:sz w:val="24"/>
          <w:szCs w:val="24"/>
        </w:rPr>
      </w:pPr>
    </w:p>
    <w:p w:rsidR="003634BA" w:rsidP="003634BA" w14:paraId="37B5D9F3" w14:textId="4215E94D">
      <w:pPr>
        <w:pStyle w:val="Header"/>
        <w:jc w:val="both"/>
        <w:rPr>
          <w:rFonts w:ascii="Times New Roman" w:hAnsi="Times New Roman"/>
          <w:sz w:val="24"/>
          <w:szCs w:val="24"/>
        </w:rPr>
      </w:pPr>
      <w:r w:rsidRPr="003634BA">
        <w:rPr>
          <w:rFonts w:ascii="Times New Roman" w:hAnsi="Times New Roman"/>
          <w:sz w:val="24"/>
          <w:szCs w:val="24"/>
        </w:rPr>
        <w:t>1)</w:t>
      </w:r>
      <w:r w:rsidRPr="003634BA">
        <w:rPr>
          <w:rFonts w:ascii="Times New Roman" w:hAnsi="Times New Roman"/>
          <w:sz w:val="24"/>
          <w:szCs w:val="24"/>
        </w:rPr>
        <w:tab/>
      </w:r>
      <w:r>
        <w:rPr>
          <w:rFonts w:ascii="Times New Roman" w:hAnsi="Times New Roman"/>
          <w:sz w:val="24"/>
          <w:szCs w:val="24"/>
        </w:rPr>
        <w:t xml:space="preserve"> </w:t>
      </w:r>
      <w:r w:rsidRPr="003634BA">
        <w:rPr>
          <w:rFonts w:ascii="Times New Roman" w:hAnsi="Times New Roman"/>
          <w:sz w:val="24"/>
          <w:szCs w:val="24"/>
        </w:rPr>
        <w:t>tā kā termins “</w:t>
      </w:r>
      <w:r w:rsidRPr="003634BA">
        <w:rPr>
          <w:rFonts w:ascii="Times New Roman" w:hAnsi="Times New Roman"/>
          <w:sz w:val="24"/>
          <w:szCs w:val="24"/>
        </w:rPr>
        <w:t>in</w:t>
      </w:r>
      <w:r w:rsidRPr="003634BA">
        <w:rPr>
          <w:rFonts w:ascii="Times New Roman" w:hAnsi="Times New Roman"/>
          <w:sz w:val="24"/>
          <w:szCs w:val="24"/>
        </w:rPr>
        <w:t xml:space="preserve"> </w:t>
      </w:r>
      <w:r w:rsidRPr="003634BA">
        <w:rPr>
          <w:rFonts w:ascii="Times New Roman" w:hAnsi="Times New Roman"/>
          <w:sz w:val="24"/>
          <w:szCs w:val="24"/>
        </w:rPr>
        <w:t>vitro</w:t>
      </w:r>
      <w:r w:rsidRPr="003634BA">
        <w:rPr>
          <w:rFonts w:ascii="Times New Roman" w:hAnsi="Times New Roman"/>
          <w:sz w:val="24"/>
          <w:szCs w:val="24"/>
        </w:rPr>
        <w:t xml:space="preserve"> diagnostikas medicīniskās ierīces” tekstā ir izmantots, iekļaut minēto terminu likumprojektā, kā to nosaka Eiropas Parlamenta un Padomes 2017.gada 5.aprīļa regulas (ES) 2017/746 par </w:t>
      </w:r>
      <w:r w:rsidRPr="003634BA">
        <w:rPr>
          <w:rFonts w:ascii="Times New Roman" w:hAnsi="Times New Roman"/>
          <w:sz w:val="24"/>
          <w:szCs w:val="24"/>
        </w:rPr>
        <w:t>in</w:t>
      </w:r>
      <w:r w:rsidRPr="003634BA">
        <w:rPr>
          <w:rFonts w:ascii="Times New Roman" w:hAnsi="Times New Roman"/>
          <w:sz w:val="24"/>
          <w:szCs w:val="24"/>
        </w:rPr>
        <w:t xml:space="preserve"> </w:t>
      </w:r>
      <w:r w:rsidRPr="003634BA">
        <w:rPr>
          <w:rFonts w:ascii="Times New Roman" w:hAnsi="Times New Roman"/>
          <w:sz w:val="24"/>
          <w:szCs w:val="24"/>
        </w:rPr>
        <w:t>vitro</w:t>
      </w:r>
      <w:r w:rsidRPr="003634BA">
        <w:rPr>
          <w:rFonts w:ascii="Times New Roman" w:hAnsi="Times New Roman"/>
          <w:sz w:val="24"/>
          <w:szCs w:val="24"/>
        </w:rPr>
        <w:t xml:space="preserve"> diagnostikas medicīniskām ierīcēm un ar ko atceļ Direktīvu 98/79/EK un Komisijas Lēmumu 2010/227/ES 2.panta 2.punkts;</w:t>
      </w:r>
    </w:p>
    <w:p w:rsidR="003634BA" w:rsidRPr="003634BA" w:rsidP="003634BA" w14:paraId="4E2AF9D2" w14:textId="77777777">
      <w:pPr>
        <w:pStyle w:val="Header"/>
        <w:jc w:val="both"/>
        <w:rPr>
          <w:rFonts w:ascii="Times New Roman" w:hAnsi="Times New Roman"/>
          <w:sz w:val="24"/>
          <w:szCs w:val="24"/>
        </w:rPr>
      </w:pPr>
    </w:p>
    <w:p w:rsidR="003634BA" w:rsidRPr="003634BA" w:rsidP="003634BA" w14:paraId="56771E10" w14:textId="543E4F39">
      <w:pPr>
        <w:pStyle w:val="Header"/>
        <w:jc w:val="both"/>
        <w:rPr>
          <w:rFonts w:ascii="Times New Roman" w:hAnsi="Times New Roman"/>
          <w:sz w:val="24"/>
          <w:szCs w:val="24"/>
        </w:rPr>
      </w:pPr>
      <w:r w:rsidRPr="003634BA">
        <w:rPr>
          <w:rFonts w:ascii="Times New Roman" w:hAnsi="Times New Roman"/>
          <w:sz w:val="24"/>
          <w:szCs w:val="24"/>
        </w:rPr>
        <w:t>2)</w:t>
      </w:r>
      <w:r w:rsidRPr="003634BA">
        <w:rPr>
          <w:rFonts w:ascii="Times New Roman" w:hAnsi="Times New Roman"/>
          <w:sz w:val="24"/>
          <w:szCs w:val="24"/>
        </w:rPr>
        <w:tab/>
      </w:r>
      <w:r>
        <w:rPr>
          <w:rFonts w:ascii="Times New Roman" w:hAnsi="Times New Roman"/>
          <w:sz w:val="24"/>
          <w:szCs w:val="24"/>
        </w:rPr>
        <w:t xml:space="preserve"> </w:t>
      </w:r>
      <w:r w:rsidRPr="003634BA">
        <w:rPr>
          <w:rFonts w:ascii="Times New Roman" w:hAnsi="Times New Roman"/>
          <w:sz w:val="24"/>
          <w:szCs w:val="24"/>
        </w:rPr>
        <w:t>tā kā būtiskās prasības nav attiecināmas ne uz vienreiz lietojamo medicīnisko ierīču pārstrādi, ne uz ierīču laišanu tirgū un nodošanu ekspluatācijā (ieviešanu), ierosinām likumprojekta 34.panta pirmās daļas 1.punktu izteikt šādā redakcijā:</w:t>
      </w:r>
    </w:p>
    <w:p w:rsidR="003634BA" w:rsidRPr="003634BA" w:rsidP="003634BA" w14:paraId="32C91D09" w14:textId="77777777">
      <w:pPr>
        <w:pStyle w:val="Header"/>
        <w:tabs>
          <w:tab w:val="left" w:pos="720"/>
        </w:tabs>
        <w:jc w:val="both"/>
        <w:rPr>
          <w:rFonts w:ascii="Times New Roman" w:hAnsi="Times New Roman"/>
          <w:sz w:val="24"/>
          <w:szCs w:val="24"/>
        </w:rPr>
      </w:pPr>
      <w:r w:rsidRPr="003634BA">
        <w:rPr>
          <w:rFonts w:ascii="Times New Roman" w:hAnsi="Times New Roman"/>
          <w:sz w:val="24"/>
          <w:szCs w:val="24"/>
        </w:rPr>
        <w:t xml:space="preserve">“1) būtiskās prasības medicīniskajām ierīcēm un </w:t>
      </w:r>
      <w:r w:rsidRPr="003634BA">
        <w:rPr>
          <w:rFonts w:ascii="Times New Roman" w:hAnsi="Times New Roman"/>
          <w:sz w:val="24"/>
          <w:szCs w:val="24"/>
        </w:rPr>
        <w:t>in</w:t>
      </w:r>
      <w:r w:rsidRPr="003634BA">
        <w:rPr>
          <w:rFonts w:ascii="Times New Roman" w:hAnsi="Times New Roman"/>
          <w:sz w:val="24"/>
          <w:szCs w:val="24"/>
        </w:rPr>
        <w:t xml:space="preserve"> </w:t>
      </w:r>
      <w:r w:rsidRPr="003634BA">
        <w:rPr>
          <w:rFonts w:ascii="Times New Roman" w:hAnsi="Times New Roman"/>
          <w:sz w:val="24"/>
          <w:szCs w:val="24"/>
        </w:rPr>
        <w:t>vitro</w:t>
      </w:r>
      <w:r w:rsidRPr="003634BA">
        <w:rPr>
          <w:rFonts w:ascii="Times New Roman" w:hAnsi="Times New Roman"/>
          <w:sz w:val="24"/>
          <w:szCs w:val="24"/>
        </w:rPr>
        <w:t xml:space="preserve"> diagnostikas medicīniskajām ierīcēm, kā arī vienreiz lietojamo medicīnisko ierīču pārstrādi, medicīnisko ierīču un </w:t>
      </w:r>
      <w:r w:rsidRPr="003634BA">
        <w:rPr>
          <w:rFonts w:ascii="Times New Roman" w:hAnsi="Times New Roman"/>
          <w:sz w:val="24"/>
          <w:szCs w:val="24"/>
        </w:rPr>
        <w:t>in</w:t>
      </w:r>
      <w:r w:rsidRPr="003634BA">
        <w:rPr>
          <w:rFonts w:ascii="Times New Roman" w:hAnsi="Times New Roman"/>
          <w:sz w:val="24"/>
          <w:szCs w:val="24"/>
        </w:rPr>
        <w:t xml:space="preserve"> </w:t>
      </w:r>
      <w:r w:rsidRPr="003634BA">
        <w:rPr>
          <w:rFonts w:ascii="Times New Roman" w:hAnsi="Times New Roman"/>
          <w:sz w:val="24"/>
          <w:szCs w:val="24"/>
        </w:rPr>
        <w:t>vitro</w:t>
      </w:r>
      <w:r w:rsidRPr="003634BA">
        <w:rPr>
          <w:rFonts w:ascii="Times New Roman" w:hAnsi="Times New Roman"/>
          <w:sz w:val="24"/>
          <w:szCs w:val="24"/>
        </w:rPr>
        <w:t xml:space="preserve"> diagnostikas medicīnisko ierīču laišanu tirgū un nodošanu ekspluatācijā (ieviešanu);</w:t>
      </w:r>
    </w:p>
    <w:p w:rsidR="003634BA" w:rsidRPr="003634BA" w:rsidP="003634BA" w14:paraId="686BB836" w14:textId="77777777">
      <w:pPr>
        <w:pStyle w:val="Header"/>
        <w:tabs>
          <w:tab w:val="left" w:pos="720"/>
        </w:tabs>
        <w:jc w:val="both"/>
        <w:rPr>
          <w:rFonts w:ascii="Times New Roman" w:hAnsi="Times New Roman"/>
          <w:sz w:val="24"/>
          <w:szCs w:val="24"/>
        </w:rPr>
      </w:pPr>
    </w:p>
    <w:p w:rsidR="003634BA" w:rsidP="003634BA" w14:paraId="0786D693" w14:textId="1C11F0D6">
      <w:pPr>
        <w:pStyle w:val="Header"/>
        <w:jc w:val="both"/>
        <w:rPr>
          <w:rFonts w:ascii="Times New Roman" w:hAnsi="Times New Roman"/>
          <w:sz w:val="24"/>
          <w:szCs w:val="24"/>
        </w:rPr>
      </w:pPr>
      <w:r w:rsidRPr="003634BA">
        <w:rPr>
          <w:rFonts w:ascii="Times New Roman" w:hAnsi="Times New Roman"/>
          <w:sz w:val="24"/>
          <w:szCs w:val="24"/>
        </w:rPr>
        <w:t>3)</w:t>
      </w:r>
      <w:r w:rsidRPr="003634BA">
        <w:rPr>
          <w:rFonts w:ascii="Times New Roman" w:hAnsi="Times New Roman"/>
          <w:sz w:val="24"/>
          <w:szCs w:val="24"/>
        </w:rPr>
        <w:tab/>
      </w:r>
      <w:r>
        <w:rPr>
          <w:rFonts w:ascii="Times New Roman" w:hAnsi="Times New Roman"/>
          <w:sz w:val="24"/>
          <w:szCs w:val="24"/>
        </w:rPr>
        <w:t xml:space="preserve"> </w:t>
      </w:r>
      <w:r w:rsidRPr="003634BA">
        <w:rPr>
          <w:rFonts w:ascii="Times New Roman" w:hAnsi="Times New Roman"/>
          <w:sz w:val="24"/>
          <w:szCs w:val="24"/>
        </w:rPr>
        <w:t>ievērojot Ministru kabineta 2017.gada 28.novembra noteikumos Nr. 689 “Medicīnisko ierīču reģistrācijas, atbilstības novērtēšanas, izplatīšanas, ekspluatācijas un tehniskās uzraudzības kārtība” noteikto, ierosinām likumprojekta 34.panta pirmās daļas 2. un 3. punktu izteikt šādā redakcijā</w:t>
      </w:r>
      <w:r>
        <w:rPr>
          <w:rFonts w:ascii="Times New Roman" w:hAnsi="Times New Roman"/>
          <w:sz w:val="24"/>
          <w:szCs w:val="24"/>
        </w:rPr>
        <w:t>:</w:t>
      </w:r>
    </w:p>
    <w:p w:rsidR="003634BA" w:rsidRPr="003634BA" w:rsidP="003634BA" w14:paraId="7751083F" w14:textId="77777777">
      <w:pPr>
        <w:pStyle w:val="Header"/>
        <w:jc w:val="both"/>
        <w:rPr>
          <w:rFonts w:ascii="Times New Roman" w:hAnsi="Times New Roman"/>
          <w:sz w:val="24"/>
          <w:szCs w:val="24"/>
        </w:rPr>
      </w:pPr>
    </w:p>
    <w:p w:rsidR="003634BA" w:rsidRPr="003634BA" w:rsidP="003634BA" w14:paraId="5AE2688B" w14:textId="77777777">
      <w:pPr>
        <w:pStyle w:val="Header"/>
        <w:tabs>
          <w:tab w:val="left" w:pos="720"/>
        </w:tabs>
        <w:jc w:val="both"/>
        <w:rPr>
          <w:rFonts w:ascii="Times New Roman" w:hAnsi="Times New Roman"/>
          <w:sz w:val="24"/>
          <w:szCs w:val="24"/>
        </w:rPr>
      </w:pPr>
      <w:r w:rsidRPr="003634BA">
        <w:rPr>
          <w:rFonts w:ascii="Times New Roman" w:hAnsi="Times New Roman"/>
          <w:sz w:val="24"/>
          <w:szCs w:val="24"/>
        </w:rPr>
        <w:t xml:space="preserve">“2) kārtību, kādā reģistrē informāciju par medicīnisko ierīču un </w:t>
      </w:r>
      <w:r w:rsidRPr="003634BA">
        <w:rPr>
          <w:rFonts w:ascii="Times New Roman" w:hAnsi="Times New Roman"/>
          <w:sz w:val="24"/>
          <w:szCs w:val="24"/>
        </w:rPr>
        <w:t>in</w:t>
      </w:r>
      <w:r w:rsidRPr="003634BA">
        <w:rPr>
          <w:rFonts w:ascii="Times New Roman" w:hAnsi="Times New Roman"/>
          <w:sz w:val="24"/>
          <w:szCs w:val="24"/>
        </w:rPr>
        <w:t xml:space="preserve"> </w:t>
      </w:r>
      <w:r w:rsidRPr="003634BA">
        <w:rPr>
          <w:rFonts w:ascii="Times New Roman" w:hAnsi="Times New Roman"/>
          <w:sz w:val="24"/>
          <w:szCs w:val="24"/>
        </w:rPr>
        <w:t>vitro</w:t>
      </w:r>
      <w:r w:rsidRPr="003634BA">
        <w:rPr>
          <w:rFonts w:ascii="Times New Roman" w:hAnsi="Times New Roman"/>
          <w:sz w:val="24"/>
          <w:szCs w:val="24"/>
        </w:rPr>
        <w:t xml:space="preserve"> diagnostikas medicīnisko ierīču ražotājiem, to ražotajām medicīniskajām ierīcēm un </w:t>
      </w:r>
      <w:r w:rsidRPr="003634BA">
        <w:rPr>
          <w:rFonts w:ascii="Times New Roman" w:hAnsi="Times New Roman"/>
          <w:sz w:val="24"/>
          <w:szCs w:val="24"/>
        </w:rPr>
        <w:t>in</w:t>
      </w:r>
      <w:r w:rsidRPr="003634BA">
        <w:rPr>
          <w:rFonts w:ascii="Times New Roman" w:hAnsi="Times New Roman"/>
          <w:sz w:val="24"/>
          <w:szCs w:val="24"/>
        </w:rPr>
        <w:t xml:space="preserve"> </w:t>
      </w:r>
      <w:r w:rsidRPr="003634BA">
        <w:rPr>
          <w:rFonts w:ascii="Times New Roman" w:hAnsi="Times New Roman"/>
          <w:sz w:val="24"/>
          <w:szCs w:val="24"/>
        </w:rPr>
        <w:t>vitro</w:t>
      </w:r>
      <w:r w:rsidRPr="003634BA">
        <w:rPr>
          <w:rFonts w:ascii="Times New Roman" w:hAnsi="Times New Roman"/>
          <w:sz w:val="24"/>
          <w:szCs w:val="24"/>
        </w:rPr>
        <w:t xml:space="preserve"> diagnostikas medicīniskajām ierīcēm, kā arī medicīnisko ierīču un </w:t>
      </w:r>
      <w:r w:rsidRPr="003634BA">
        <w:rPr>
          <w:rFonts w:ascii="Times New Roman" w:hAnsi="Times New Roman"/>
          <w:sz w:val="24"/>
          <w:szCs w:val="24"/>
        </w:rPr>
        <w:t>in</w:t>
      </w:r>
      <w:r w:rsidRPr="003634BA">
        <w:rPr>
          <w:rFonts w:ascii="Times New Roman" w:hAnsi="Times New Roman"/>
          <w:sz w:val="24"/>
          <w:szCs w:val="24"/>
        </w:rPr>
        <w:t xml:space="preserve"> </w:t>
      </w:r>
      <w:r w:rsidRPr="003634BA">
        <w:rPr>
          <w:rFonts w:ascii="Times New Roman" w:hAnsi="Times New Roman"/>
          <w:sz w:val="24"/>
          <w:szCs w:val="24"/>
        </w:rPr>
        <w:t>vitro</w:t>
      </w:r>
      <w:r w:rsidRPr="003634BA">
        <w:rPr>
          <w:rFonts w:ascii="Times New Roman" w:hAnsi="Times New Roman"/>
          <w:sz w:val="24"/>
          <w:szCs w:val="24"/>
        </w:rPr>
        <w:t xml:space="preserve"> diagnostikas medicīnisko ierīču izplatītājiem”;</w:t>
      </w:r>
    </w:p>
    <w:p w:rsidR="003634BA" w:rsidRPr="003634BA" w:rsidP="003634BA" w14:paraId="3AD17D9B" w14:textId="77777777">
      <w:pPr>
        <w:pStyle w:val="Header"/>
        <w:tabs>
          <w:tab w:val="left" w:pos="720"/>
        </w:tabs>
        <w:jc w:val="both"/>
        <w:rPr>
          <w:rFonts w:ascii="Times New Roman" w:hAnsi="Times New Roman"/>
          <w:sz w:val="24"/>
          <w:szCs w:val="24"/>
        </w:rPr>
      </w:pPr>
      <w:r w:rsidRPr="003634BA">
        <w:rPr>
          <w:rFonts w:ascii="Times New Roman" w:hAnsi="Times New Roman"/>
          <w:sz w:val="24"/>
          <w:szCs w:val="24"/>
        </w:rPr>
        <w:t xml:space="preserve">3) prasības medicīnisko ierīču un </w:t>
      </w:r>
      <w:r w:rsidRPr="003634BA">
        <w:rPr>
          <w:rFonts w:ascii="Times New Roman" w:hAnsi="Times New Roman"/>
          <w:sz w:val="24"/>
          <w:szCs w:val="24"/>
        </w:rPr>
        <w:t>in</w:t>
      </w:r>
      <w:r w:rsidRPr="003634BA">
        <w:rPr>
          <w:rFonts w:ascii="Times New Roman" w:hAnsi="Times New Roman"/>
          <w:sz w:val="24"/>
          <w:szCs w:val="24"/>
        </w:rPr>
        <w:t xml:space="preserve"> </w:t>
      </w:r>
      <w:r w:rsidRPr="003634BA">
        <w:rPr>
          <w:rFonts w:ascii="Times New Roman" w:hAnsi="Times New Roman"/>
          <w:sz w:val="24"/>
          <w:szCs w:val="24"/>
        </w:rPr>
        <w:t>vitro</w:t>
      </w:r>
      <w:r w:rsidRPr="003634BA">
        <w:rPr>
          <w:rFonts w:ascii="Times New Roman" w:hAnsi="Times New Roman"/>
          <w:sz w:val="24"/>
          <w:szCs w:val="24"/>
        </w:rPr>
        <w:t xml:space="preserve"> diagnostikas medicīnisko ierīču izplatīšanai un ekspluatācijai, kā arī </w:t>
      </w:r>
      <w:r w:rsidRPr="003634BA">
        <w:rPr>
          <w:rFonts w:ascii="Times New Roman" w:hAnsi="Times New Roman"/>
          <w:sz w:val="24"/>
          <w:szCs w:val="24"/>
        </w:rPr>
        <w:t>vigilancei</w:t>
      </w:r>
      <w:r w:rsidRPr="003634BA">
        <w:rPr>
          <w:rFonts w:ascii="Times New Roman" w:hAnsi="Times New Roman"/>
          <w:sz w:val="24"/>
          <w:szCs w:val="24"/>
        </w:rPr>
        <w:t xml:space="preserve">, </w:t>
      </w:r>
      <w:r w:rsidRPr="003634BA">
        <w:rPr>
          <w:rFonts w:ascii="Times New Roman" w:hAnsi="Times New Roman"/>
          <w:sz w:val="24"/>
          <w:szCs w:val="24"/>
        </w:rPr>
        <w:t>pēctirgus</w:t>
      </w:r>
      <w:r w:rsidRPr="003634BA">
        <w:rPr>
          <w:rFonts w:ascii="Times New Roman" w:hAnsi="Times New Roman"/>
          <w:sz w:val="24"/>
          <w:szCs w:val="24"/>
        </w:rPr>
        <w:t xml:space="preserve"> un tehniskajai uzraudzībai.”;</w:t>
      </w:r>
    </w:p>
    <w:p w:rsidR="003634BA" w:rsidRPr="003634BA" w:rsidP="003634BA" w14:paraId="11CC665F" w14:textId="77777777">
      <w:pPr>
        <w:pStyle w:val="Header"/>
        <w:tabs>
          <w:tab w:val="left" w:pos="720"/>
        </w:tabs>
        <w:jc w:val="both"/>
        <w:rPr>
          <w:rFonts w:ascii="Times New Roman" w:hAnsi="Times New Roman"/>
          <w:sz w:val="24"/>
          <w:szCs w:val="24"/>
        </w:rPr>
      </w:pPr>
    </w:p>
    <w:p w:rsidR="003634BA" w:rsidRPr="003634BA" w:rsidP="003634BA" w14:paraId="698013CA" w14:textId="37B8A81B">
      <w:pPr>
        <w:pStyle w:val="Header"/>
        <w:jc w:val="both"/>
        <w:rPr>
          <w:rFonts w:ascii="Times New Roman" w:hAnsi="Times New Roman"/>
          <w:sz w:val="24"/>
          <w:szCs w:val="24"/>
        </w:rPr>
      </w:pPr>
      <w:r w:rsidRPr="003634BA">
        <w:rPr>
          <w:rFonts w:ascii="Times New Roman" w:hAnsi="Times New Roman"/>
          <w:sz w:val="24"/>
          <w:szCs w:val="24"/>
        </w:rPr>
        <w:t>4)</w:t>
      </w:r>
      <w:r w:rsidRPr="003634BA">
        <w:rPr>
          <w:rFonts w:ascii="Times New Roman" w:hAnsi="Times New Roman"/>
          <w:sz w:val="24"/>
          <w:szCs w:val="24"/>
        </w:rPr>
        <w:tab/>
      </w:r>
      <w:r>
        <w:rPr>
          <w:rFonts w:ascii="Times New Roman" w:hAnsi="Times New Roman"/>
          <w:sz w:val="24"/>
          <w:szCs w:val="24"/>
        </w:rPr>
        <w:t xml:space="preserve"> </w:t>
      </w:r>
      <w:r w:rsidRPr="003634BA">
        <w:rPr>
          <w:rFonts w:ascii="Times New Roman" w:hAnsi="Times New Roman"/>
          <w:sz w:val="24"/>
          <w:szCs w:val="24"/>
        </w:rPr>
        <w:t xml:space="preserve">ņemot vērā to, ka Regulā (ES) 2017/745 tiek lietots termins "klīnisks pētījums", savukārt Regulā (ES) 2017/746 - "veiktspējas pētījums", ierosināt izteikt Ārstniecības likuma 34.panta otro daļu šādā redakcijā:   </w:t>
      </w:r>
    </w:p>
    <w:p w:rsidR="00EE2E14" w:rsidP="003634BA" w14:paraId="3AC5AE85" w14:textId="71841EF2">
      <w:pPr>
        <w:pStyle w:val="Header"/>
        <w:tabs>
          <w:tab w:val="left" w:pos="720"/>
        </w:tabs>
        <w:jc w:val="both"/>
        <w:rPr>
          <w:rFonts w:ascii="Times New Roman" w:hAnsi="Times New Roman"/>
          <w:sz w:val="24"/>
          <w:szCs w:val="24"/>
        </w:rPr>
      </w:pPr>
      <w:r w:rsidRPr="003634BA">
        <w:rPr>
          <w:rFonts w:ascii="Times New Roman" w:hAnsi="Times New Roman"/>
          <w:sz w:val="24"/>
          <w:szCs w:val="24"/>
        </w:rPr>
        <w:t xml:space="preserve">"(2) Ministru kabinets nosaka kārtību, kādā veic cilvēkiem paredzēto medicīnisko ierīču klīniskos pētījumus un </w:t>
      </w:r>
      <w:r w:rsidRPr="003634BA">
        <w:rPr>
          <w:rFonts w:ascii="Times New Roman" w:hAnsi="Times New Roman"/>
          <w:sz w:val="24"/>
          <w:szCs w:val="24"/>
        </w:rPr>
        <w:t>in</w:t>
      </w:r>
      <w:r w:rsidRPr="003634BA">
        <w:rPr>
          <w:rFonts w:ascii="Times New Roman" w:hAnsi="Times New Roman"/>
          <w:sz w:val="24"/>
          <w:szCs w:val="24"/>
        </w:rPr>
        <w:t xml:space="preserve"> </w:t>
      </w:r>
      <w:r w:rsidRPr="003634BA">
        <w:rPr>
          <w:rFonts w:ascii="Times New Roman" w:hAnsi="Times New Roman"/>
          <w:sz w:val="24"/>
          <w:szCs w:val="24"/>
        </w:rPr>
        <w:t>vitro</w:t>
      </w:r>
      <w:r w:rsidRPr="003634BA">
        <w:rPr>
          <w:rFonts w:ascii="Times New Roman" w:hAnsi="Times New Roman"/>
          <w:sz w:val="24"/>
          <w:szCs w:val="24"/>
        </w:rPr>
        <w:t xml:space="preserve"> diagnostikas medicīnisko ierīču veiktspējas pētījumus."  </w:t>
      </w:r>
    </w:p>
    <w:p w:rsidR="00EE2E14" w:rsidP="003634BA" w14:paraId="4CC507E5" w14:textId="77777777">
      <w:pPr>
        <w:pStyle w:val="Header"/>
        <w:tabs>
          <w:tab w:val="left" w:pos="720"/>
        </w:tabs>
        <w:jc w:val="both"/>
        <w:rPr>
          <w:rFonts w:ascii="Times New Roman" w:hAnsi="Times New Roman"/>
          <w:sz w:val="24"/>
          <w:szCs w:val="24"/>
        </w:rPr>
      </w:pPr>
    </w:p>
    <w:p w:rsidR="00EE2E14" w:rsidP="003634BA" w14:paraId="3DCCC564" w14:textId="77777777">
      <w:pPr>
        <w:pStyle w:val="Header"/>
        <w:tabs>
          <w:tab w:val="left" w:pos="720"/>
        </w:tabs>
        <w:jc w:val="both"/>
        <w:rPr>
          <w:rFonts w:ascii="Times New Roman" w:hAnsi="Times New Roman"/>
          <w:sz w:val="24"/>
          <w:szCs w:val="24"/>
        </w:rPr>
      </w:pPr>
    </w:p>
    <w:p w:rsidR="00EE2E14" w:rsidP="003634BA" w14:paraId="73BD6810" w14:textId="77777777">
      <w:pPr>
        <w:pStyle w:val="Header"/>
        <w:tabs>
          <w:tab w:val="left" w:pos="720"/>
        </w:tabs>
        <w:jc w:val="both"/>
        <w:rPr>
          <w:rFonts w:ascii="Times New Roman" w:hAnsi="Times New Roman"/>
          <w:sz w:val="24"/>
          <w:szCs w:val="24"/>
        </w:rPr>
      </w:pPr>
    </w:p>
    <w:p w:rsidR="00EE2E14" w:rsidP="00EE2E14" w14:paraId="5A71B389" w14:textId="7EDB9A2D">
      <w:pPr>
        <w:pStyle w:val="Header"/>
        <w:tabs>
          <w:tab w:val="left" w:pos="720"/>
        </w:tabs>
        <w:rPr>
          <w:rFonts w:ascii="Times New Roman" w:hAnsi="Times New Roman"/>
          <w:sz w:val="24"/>
          <w:szCs w:val="24"/>
        </w:rPr>
      </w:pPr>
      <w:r w:rsidRPr="003634BA">
        <w:rPr>
          <w:rFonts w:ascii="Times New Roman" w:hAnsi="Times New Roman"/>
          <w:sz w:val="24"/>
          <w:szCs w:val="24"/>
        </w:rPr>
        <w:t xml:space="preserve">Direktora </w:t>
      </w:r>
      <w:r w:rsidRPr="003634BA">
        <w:rPr>
          <w:rFonts w:ascii="Times New Roman" w:hAnsi="Times New Roman"/>
          <w:sz w:val="24"/>
          <w:szCs w:val="24"/>
        </w:rPr>
        <w:t>p.i</w:t>
      </w:r>
      <w:r w:rsidRPr="003634BA">
        <w:rPr>
          <w:rFonts w:ascii="Times New Roman" w:hAnsi="Times New Roman"/>
          <w:sz w:val="24"/>
          <w:szCs w:val="24"/>
        </w:rPr>
        <w:t>. - Veselības tehnoloģiju novērtēšanas nodaļas vadītāja</w:t>
      </w:r>
      <w:r>
        <w:rPr>
          <w:rFonts w:ascii="Times New Roman" w:hAnsi="Times New Roman"/>
          <w:sz w:val="24"/>
          <w:szCs w:val="24"/>
        </w:rPr>
        <w:tab/>
      </w:r>
      <w:r>
        <w:rPr>
          <w:rFonts w:ascii="Times New Roman" w:hAnsi="Times New Roman"/>
          <w:noProof/>
          <w:sz w:val="24"/>
          <w:szCs w:val="24"/>
        </w:rPr>
        <w:t>Antra Fogele</w:t>
      </w:r>
    </w:p>
    <w:p w:rsidR="00EE2E14" w:rsidP="00EE2E14" w14:paraId="570171AC" w14:textId="77777777">
      <w:pPr>
        <w:pStyle w:val="Header"/>
        <w:tabs>
          <w:tab w:val="left" w:pos="720"/>
        </w:tabs>
        <w:rPr>
          <w:rFonts w:ascii="Times New Roman" w:hAnsi="Times New Roman"/>
          <w:sz w:val="24"/>
          <w:szCs w:val="24"/>
        </w:rPr>
      </w:pPr>
    </w:p>
    <w:p w:rsidR="00EE2E14" w:rsidP="00EE2E14" w14:paraId="6D72CAB1" w14:textId="77777777">
      <w:pPr>
        <w:pStyle w:val="Header"/>
        <w:tabs>
          <w:tab w:val="left" w:pos="720"/>
        </w:tabs>
        <w:rPr>
          <w:rFonts w:ascii="Times New Roman" w:hAnsi="Times New Roman"/>
          <w:sz w:val="24"/>
          <w:szCs w:val="24"/>
        </w:rPr>
      </w:pPr>
    </w:p>
    <w:p w:rsidR="00EE2E14" w:rsidP="00EE2E14" w14:paraId="67D6E820" w14:textId="77777777">
      <w:pPr>
        <w:pStyle w:val="Header"/>
        <w:tabs>
          <w:tab w:val="left" w:pos="720"/>
        </w:tabs>
        <w:rPr>
          <w:rFonts w:ascii="Times New Roman" w:hAnsi="Times New Roman"/>
          <w:sz w:val="24"/>
          <w:szCs w:val="24"/>
        </w:rPr>
      </w:pPr>
    </w:p>
    <w:p w:rsidR="00EE2E14" w:rsidP="006C0FC5" w14:paraId="3E0050A3" w14:textId="77777777">
      <w:pPr>
        <w:pStyle w:val="Header"/>
        <w:tabs>
          <w:tab w:val="left" w:pos="720"/>
        </w:tabs>
        <w:jc w:val="center"/>
        <w:rPr>
          <w:rFonts w:ascii="Times New Roman" w:hAnsi="Times New Roman"/>
          <w:sz w:val="24"/>
          <w:szCs w:val="24"/>
        </w:rPr>
      </w:pPr>
      <w:r>
        <w:rPr>
          <w:rFonts w:ascii="Times New Roman" w:hAnsi="Times New Roman"/>
          <w:sz w:val="20"/>
          <w:szCs w:val="20"/>
        </w:rPr>
        <w:t>DOKUMENTS PARAKSTĪTS AR DROŠU ELEKTRONISKO PARAKSTU UN SATUR LAIKA ZĪMOGU</w:t>
      </w:r>
    </w:p>
    <w:p w:rsidR="00EE2E14" w:rsidP="00EE2E14" w14:paraId="2D2251E3" w14:textId="77777777">
      <w:pPr>
        <w:pStyle w:val="Header"/>
        <w:tabs>
          <w:tab w:val="left" w:pos="720"/>
        </w:tabs>
        <w:rPr>
          <w:rFonts w:ascii="Times New Roman" w:hAnsi="Times New Roman"/>
          <w:sz w:val="24"/>
          <w:szCs w:val="24"/>
        </w:rPr>
      </w:pPr>
    </w:p>
    <w:p w:rsidR="00EE2E14" w:rsidP="00EE2E14" w14:paraId="18AC2EAF" w14:textId="77777777">
      <w:pPr>
        <w:pStyle w:val="Header"/>
        <w:tabs>
          <w:tab w:val="left" w:pos="720"/>
        </w:tabs>
        <w:rPr>
          <w:rFonts w:ascii="Times New Roman" w:hAnsi="Times New Roman"/>
          <w:sz w:val="24"/>
          <w:szCs w:val="24"/>
        </w:rPr>
      </w:pPr>
    </w:p>
    <w:p w:rsidR="00EE2E14" w:rsidP="00EE2E14" w14:paraId="10D440E3" w14:textId="77777777">
      <w:pPr>
        <w:pStyle w:val="Header"/>
        <w:tabs>
          <w:tab w:val="left" w:pos="720"/>
        </w:tabs>
        <w:rPr>
          <w:rFonts w:ascii="Times New Roman" w:hAnsi="Times New Roman"/>
          <w:sz w:val="24"/>
          <w:szCs w:val="24"/>
        </w:rPr>
      </w:pPr>
    </w:p>
    <w:p w:rsidR="00EE2E14" w:rsidRPr="005D6933" w:rsidP="00EE2E14" w14:paraId="39C9F6AB" w14:textId="77777777">
      <w:pPr>
        <w:pStyle w:val="Header"/>
        <w:tabs>
          <w:tab w:val="left" w:pos="720"/>
        </w:tabs>
        <w:rPr>
          <w:rFonts w:ascii="Times New Roman" w:hAnsi="Times New Roman"/>
          <w:sz w:val="20"/>
          <w:szCs w:val="24"/>
        </w:rPr>
      </w:pPr>
      <w:r w:rsidRPr="005D6933">
        <w:rPr>
          <w:rFonts w:ascii="Times New Roman" w:hAnsi="Times New Roman"/>
          <w:noProof/>
          <w:sz w:val="20"/>
          <w:szCs w:val="24"/>
        </w:rPr>
        <w:t>Sarmīte Penģerote, Andis Viļums</w:t>
      </w:r>
    </w:p>
    <w:p w:rsidR="00EE2E14" w:rsidRPr="005D6933" w:rsidP="00EE2E14" w14:paraId="1408CC6D" w14:textId="77777777">
      <w:pPr>
        <w:pStyle w:val="Header"/>
        <w:tabs>
          <w:tab w:val="left" w:pos="720"/>
        </w:tabs>
        <w:rPr>
          <w:rFonts w:ascii="Times New Roman" w:hAnsi="Times New Roman"/>
          <w:sz w:val="20"/>
          <w:szCs w:val="24"/>
        </w:rPr>
      </w:pPr>
      <w:r w:rsidRPr="005D6933">
        <w:rPr>
          <w:rFonts w:ascii="Times New Roman" w:hAnsi="Times New Roman"/>
          <w:noProof/>
          <w:sz w:val="20"/>
          <w:szCs w:val="24"/>
        </w:rPr>
        <w:t>Sarmite.Pengerote@zva.gov.lv, Andis.Vilums@zva.gov.lv</w:t>
      </w:r>
    </w:p>
    <w:p w:rsidR="00285BE1" w:rsidRPr="00C41304" w:rsidP="00EE2E14" w14:paraId="30971DF5" w14:textId="77777777">
      <w:pPr>
        <w:pStyle w:val="Header"/>
        <w:tabs>
          <w:tab w:val="left" w:pos="720"/>
        </w:tabs>
        <w:rPr>
          <w:rFonts w:ascii="Times New Roman" w:hAnsi="Times New Roman"/>
          <w:sz w:val="24"/>
          <w:szCs w:val="24"/>
        </w:rPr>
      </w:pPr>
      <w:r w:rsidRPr="005D6933">
        <w:rPr>
          <w:rFonts w:ascii="Times New Roman" w:hAnsi="Times New Roman"/>
          <w:sz w:val="20"/>
          <w:szCs w:val="24"/>
        </w:rPr>
        <w:t xml:space="preserve">Tālr.: </w:t>
      </w:r>
      <w:r w:rsidRPr="005D6933">
        <w:rPr>
          <w:rFonts w:ascii="Times New Roman" w:hAnsi="Times New Roman"/>
          <w:noProof/>
          <w:sz w:val="20"/>
          <w:szCs w:val="24"/>
        </w:rPr>
        <w:t>67078453, 67078466, 29607532</w:t>
      </w:r>
    </w:p>
    <w:sectPr w:rsidSect="00285BE1">
      <w:headerReference w:type="default" r:id="rId4"/>
      <w:headerReference w:type="first" r:id="rId5"/>
      <w:pgSz w:w="11906" w:h="16838"/>
      <w:pgMar w:top="1093" w:right="991" w:bottom="1440" w:left="1701" w:header="851"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99391047"/>
      <w:docPartObj>
        <w:docPartGallery w:val="Page Numbers (Top of Page)"/>
        <w:docPartUnique/>
      </w:docPartObj>
    </w:sdtPr>
    <w:sdtEndPr>
      <w:rPr>
        <w:rFonts w:ascii="Times New Roman" w:hAnsi="Times New Roman"/>
        <w:noProof/>
        <w:sz w:val="24"/>
        <w:szCs w:val="24"/>
      </w:rPr>
    </w:sdtEndPr>
    <w:sdtContent>
      <w:p w:rsidR="006E2E2D" w:rsidRPr="006E2E2D" w14:paraId="601BE877" w14:textId="2FCFAC21">
        <w:pPr>
          <w:pStyle w:val="Header"/>
          <w:jc w:val="center"/>
          <w:rPr>
            <w:rFonts w:ascii="Times New Roman" w:hAnsi="Times New Roman"/>
            <w:sz w:val="24"/>
            <w:szCs w:val="24"/>
          </w:rPr>
        </w:pPr>
        <w:r w:rsidRPr="006E2E2D">
          <w:rPr>
            <w:rFonts w:ascii="Times New Roman" w:hAnsi="Times New Roman"/>
            <w:sz w:val="24"/>
            <w:szCs w:val="24"/>
          </w:rPr>
          <w:fldChar w:fldCharType="begin"/>
        </w:r>
        <w:r w:rsidRPr="006E2E2D">
          <w:rPr>
            <w:rFonts w:ascii="Times New Roman" w:hAnsi="Times New Roman"/>
            <w:sz w:val="24"/>
            <w:szCs w:val="24"/>
          </w:rPr>
          <w:instrText xml:space="preserve"> PAGE   \* MERGEFORMAT </w:instrText>
        </w:r>
        <w:r w:rsidRPr="006E2E2D">
          <w:rPr>
            <w:rFonts w:ascii="Times New Roman" w:hAnsi="Times New Roman"/>
            <w:sz w:val="24"/>
            <w:szCs w:val="24"/>
          </w:rPr>
          <w:fldChar w:fldCharType="separate"/>
        </w:r>
        <w:r w:rsidRPr="006E2E2D">
          <w:rPr>
            <w:rFonts w:ascii="Times New Roman" w:hAnsi="Times New Roman"/>
            <w:noProof/>
            <w:sz w:val="24"/>
            <w:szCs w:val="24"/>
          </w:rPr>
          <w:t>2</w:t>
        </w:r>
        <w:r w:rsidRPr="006E2E2D">
          <w:rPr>
            <w:rFonts w:ascii="Times New Roman" w:hAnsi="Times New Roman"/>
            <w:noProof/>
            <w:sz w:val="24"/>
            <w:szCs w:val="24"/>
          </w:rPr>
          <w:fldChar w:fldCharType="end"/>
        </w:r>
      </w:p>
    </w:sdtContent>
  </w:sdt>
  <w:p w:rsidR="006E2E2D" w14:paraId="1A598AA9"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85BE1" w14:paraId="7A2C61BE" w14:textId="77777777">
    <w:pPr>
      <w:pStyle w:val="Header"/>
    </w:pPr>
    <w:r>
      <w:rPr>
        <w:noProof/>
        <w:lang w:val="en-US"/>
      </w:rPr>
      <mc:AlternateContent>
        <mc:Choice Requires="wpg">
          <w:drawing>
            <wp:anchor distT="0" distB="0" distL="114300" distR="114300" simplePos="0" relativeHeight="251658240" behindDoc="1" locked="0" layoutInCell="1" allowOverlap="1">
              <wp:simplePos x="0" y="0"/>
              <wp:positionH relativeFrom="column">
                <wp:posOffset>95250</wp:posOffset>
              </wp:positionH>
              <wp:positionV relativeFrom="paragraph">
                <wp:posOffset>137795</wp:posOffset>
              </wp:positionV>
              <wp:extent cx="5838825" cy="1597025"/>
              <wp:effectExtent l="0" t="0" r="0" b="0"/>
              <wp:wrapNone/>
              <wp:docPr id="1" name="Group 16"/>
              <wp:cNvGraphicFramePr/>
              <a:graphic xmlns:a="http://schemas.openxmlformats.org/drawingml/2006/main">
                <a:graphicData uri="http://schemas.microsoft.com/office/word/2010/wordprocessingGroup">
                  <wpg:wgp xmlns:wpg="http://schemas.microsoft.com/office/word/2010/wordprocessingGroup">
                    <wpg:cNvGrpSpPr/>
                    <wpg:grpSpPr>
                      <a:xfrm>
                        <a:off x="0" y="0"/>
                        <a:ext cx="5838825" cy="1597025"/>
                        <a:chOff x="0" y="0"/>
                        <a:chExt cx="58388" cy="15968"/>
                      </a:xfrm>
                    </wpg:grpSpPr>
                    <pic:pic xmlns:pic="http://schemas.openxmlformats.org/drawingml/2006/picture">
                      <pic:nvPicPr>
                        <pic:cNvPr id="2" name="Picture 12"/>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475" y="0"/>
                          <a:ext cx="56718" cy="10331"/>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pic:spPr>
                    </pic:pic>
                    <wpg:grpSp>
                      <wpg:cNvPr id="3" name="Group 1"/>
                      <wpg:cNvGrpSpPr/>
                      <wpg:grpSpPr>
                        <a:xfrm>
                          <a:off x="6768" y="11519"/>
                          <a:ext cx="43974" cy="12"/>
                          <a:chOff x="2915" y="2998"/>
                          <a:chExt cx="6926" cy="2"/>
                        </a:xfrm>
                      </wpg:grpSpPr>
                      <wps:wsp xmlns:wps="http://schemas.microsoft.com/office/word/2010/wordprocessingShape">
                        <wps:cNvPr id="4" name="Freeform 42"/>
                        <wps:cNvSpPr/>
                        <wps:spPr bwMode="auto">
                          <a:xfrm>
                            <a:off x="2915" y="2998"/>
                            <a:ext cx="6926" cy="2"/>
                          </a:xfrm>
                          <a:custGeom>
                            <a:avLst/>
                            <a:gdLst>
                              <a:gd name="T0" fmla="*/ 0 w 6926"/>
                              <a:gd name="T1" fmla="*/ 0 h 2"/>
                              <a:gd name="T2" fmla="*/ 6926 w 6926"/>
                              <a:gd name="T3" fmla="*/ 0 h 2"/>
                              <a:gd name="T4" fmla="*/ 0 60000 65536"/>
                              <a:gd name="T5" fmla="*/ 0 60000 65536"/>
                            </a:gdLst>
                            <a:cxnLst>
                              <a:cxn ang="T4">
                                <a:pos x="T0" y="T1"/>
                              </a:cxn>
                              <a:cxn ang="T5">
                                <a:pos x="T2" y="T3"/>
                              </a:cxn>
                            </a:cxnLst>
                            <a:rect l="0" t="0" r="r" b="b"/>
                            <a:pathLst>
                              <a:path fill="norm" h="2" w="6926" stroke="1">
                                <a:moveTo>
                                  <a:pt x="0" y="0"/>
                                </a:moveTo>
                                <a:lnTo>
                                  <a:pt x="6926" y="0"/>
                                </a:lnTo>
                              </a:path>
                            </a:pathLst>
                          </a:custGeom>
                          <a:noFill/>
                          <a:ln w="3175">
                            <a:solidFill>
                              <a:srgbClr val="231F2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wps:wsp>
                    </wpg:grpSp>
                    <wps:wsp xmlns:wps="http://schemas.microsoft.com/office/word/2010/wordprocessingShape">
                      <wps:cNvPr id="5" name="Text Box 3"/>
                      <wps:cNvSpPr txBox="1">
                        <a:spLocks noChangeArrowheads="1"/>
                      </wps:cNvSpPr>
                      <wps:spPr bwMode="auto">
                        <a:xfrm>
                          <a:off x="0" y="12825"/>
                          <a:ext cx="58388" cy="3143"/>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285BE1" w:rsidRPr="00CC0055" w:rsidP="00285BE1" w14:paraId="1A1F5619" w14:textId="77777777">
                            <w:pPr>
                              <w:spacing w:after="0" w:line="194" w:lineRule="exact"/>
                              <w:ind w:left="20" w:right="-45"/>
                              <w:jc w:val="center"/>
                              <w:rPr>
                                <w:rFonts w:ascii="Times New Roman" w:eastAsia="Times New Roman" w:hAnsi="Times New Roman"/>
                                <w:sz w:val="20"/>
                                <w:szCs w:val="20"/>
                              </w:rPr>
                            </w:pPr>
                            <w:r w:rsidRPr="00CC0055">
                              <w:rPr>
                                <w:rFonts w:ascii="Times New Roman" w:eastAsia="Times New Roman" w:hAnsi="Times New Roman"/>
                                <w:color w:val="231F20"/>
                                <w:sz w:val="20"/>
                                <w:szCs w:val="20"/>
                              </w:rPr>
                              <w:t>Jersikas iela 15, Rīga, LV-1003, tālr. 67078424, fakss 67078428, e-pasts info@zva.gov.lv, www.zva.gov.lv</w:t>
                            </w:r>
                          </w:p>
                        </w:txbxContent>
                      </wps:txbx>
                      <wps:bodyPr rot="0" vert="horz" wrap="square" lIns="0" tIns="0" rIns="0" bIns="0" anchor="t" anchorCtr="0" upright="1"/>
                    </wps:wsp>
                  </wpg:wgp>
                </a:graphicData>
              </a:graphic>
              <wp14:sizeRelH relativeFrom="page">
                <wp14:pctWidth>0</wp14:pctWidth>
              </wp14:sizeRelH>
              <wp14:sizeRelV relativeFrom="page">
                <wp14:pctHeight>0</wp14:pctHeight>
              </wp14:sizeRelV>
            </wp:anchor>
          </w:drawing>
        </mc:Choice>
        <mc:Fallback>
          <w:pict>
            <v:group id="Group 16" o:spid="_x0000_s2049" style="width:459.75pt;height:125.75pt;margin-top:10.85pt;margin-left:7.5pt;position:absolute;z-index:-251657216" coordsize="58388,15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2050" type="#_x0000_t75" style="width:56718;height:10331;left:475;mso-wrap-style:square;position:absolute;visibility:visible">
                <v:imagedata r:id="rId1" o:title=""/>
              </v:shape>
              <v:group id="Group 1" o:spid="_x0000_s2051" style="width:43974;height:12;left:6768;position:absolute;top:11519" coordorigin="2915,2998" coordsize="6926,2">
                <v:shape id="Freeform 42" o:spid="_x0000_s2052" style="width:6926;height:2;left:2915;mso-wrap-style:square;position:absolute;top:2998;visibility:visible;v-text-anchor:top" coordsize="6926,2" path="m,l6926,e" filled="f" strokecolor="#231f20" strokeweight="0.25pt">
                  <v:path arrowok="t" o:connecttype="custom" o:connectlocs="0,0;6926,0" o:connectangles="0,0"/>
                </v:shape>
              </v:group>
              <v:shapetype id="_x0000_t202" coordsize="21600,21600" o:spt="202" path="m,l,21600r21600,l21600,xe">
                <v:stroke joinstyle="miter"/>
                <v:path gradientshapeok="t" o:connecttype="rect"/>
              </v:shapetype>
              <v:shape id="Text Box 3" o:spid="_x0000_s2053" type="#_x0000_t202" style="width:58388;height:3143;mso-wrap-style:square;position:absolute;top:12825;visibility:visible;v-text-anchor:top" filled="f" stroked="f">
                <v:textbox inset="0,0,0,0">
                  <w:txbxContent>
                    <w:p w:rsidR="00285BE1" w:rsidRPr="00CC0055" w:rsidP="00285BE1" w14:paraId="7E85D56F" w14:textId="77777777">
                      <w:pPr>
                        <w:spacing w:after="0" w:line="194" w:lineRule="exact"/>
                        <w:ind w:left="20" w:right="-45"/>
                        <w:jc w:val="center"/>
                        <w:rPr>
                          <w:rFonts w:ascii="Times New Roman" w:eastAsia="Times New Roman" w:hAnsi="Times New Roman"/>
                          <w:sz w:val="20"/>
                          <w:szCs w:val="20"/>
                        </w:rPr>
                      </w:pPr>
                      <w:r w:rsidRPr="00CC0055">
                        <w:rPr>
                          <w:rFonts w:ascii="Times New Roman" w:eastAsia="Times New Roman" w:hAnsi="Times New Roman"/>
                          <w:color w:val="231F20"/>
                          <w:sz w:val="20"/>
                          <w:szCs w:val="20"/>
                        </w:rPr>
                        <w:t>Jersikas iela 15, Rīga, LV-1003, tālr. 67078424, fakss 67078428, e-pasts info@zva.gov.lv, www.zva.gov.lv</w:t>
                      </w:r>
                    </w:p>
                  </w:txbxContent>
                </v:textbox>
              </v:shap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2EC"/>
    <w:rsid w:val="00017856"/>
    <w:rsid w:val="00025D7F"/>
    <w:rsid w:val="00056046"/>
    <w:rsid w:val="000573DE"/>
    <w:rsid w:val="000C33D3"/>
    <w:rsid w:val="001448F2"/>
    <w:rsid w:val="001B6EED"/>
    <w:rsid w:val="001C0329"/>
    <w:rsid w:val="001E0CF9"/>
    <w:rsid w:val="001E59B7"/>
    <w:rsid w:val="001F0F86"/>
    <w:rsid w:val="00241116"/>
    <w:rsid w:val="00285BE1"/>
    <w:rsid w:val="002D53D7"/>
    <w:rsid w:val="0034053E"/>
    <w:rsid w:val="003634BA"/>
    <w:rsid w:val="00387A3F"/>
    <w:rsid w:val="00442CD5"/>
    <w:rsid w:val="004830AE"/>
    <w:rsid w:val="004C3F5D"/>
    <w:rsid w:val="005347D0"/>
    <w:rsid w:val="005D6933"/>
    <w:rsid w:val="00680978"/>
    <w:rsid w:val="006952EC"/>
    <w:rsid w:val="006A000A"/>
    <w:rsid w:val="006C0FC5"/>
    <w:rsid w:val="006E2E2D"/>
    <w:rsid w:val="00711FA4"/>
    <w:rsid w:val="007F7760"/>
    <w:rsid w:val="00834964"/>
    <w:rsid w:val="0084686C"/>
    <w:rsid w:val="00871D06"/>
    <w:rsid w:val="00951500"/>
    <w:rsid w:val="009C24D3"/>
    <w:rsid w:val="009E2A5A"/>
    <w:rsid w:val="00AC107E"/>
    <w:rsid w:val="00B80752"/>
    <w:rsid w:val="00BF5689"/>
    <w:rsid w:val="00C108AD"/>
    <w:rsid w:val="00C1553D"/>
    <w:rsid w:val="00C41304"/>
    <w:rsid w:val="00C60BC2"/>
    <w:rsid w:val="00C811AF"/>
    <w:rsid w:val="00C816A3"/>
    <w:rsid w:val="00CC0055"/>
    <w:rsid w:val="00D152BD"/>
    <w:rsid w:val="00E37EC5"/>
    <w:rsid w:val="00EA10F1"/>
    <w:rsid w:val="00EE2E14"/>
    <w:rsid w:val="00F873D9"/>
    <w:rsid w:val="00FD4DAA"/>
    <w:rsid w:val="00FF5131"/>
  </w:rsids>
  <m:mathPr>
    <m:mathFont m:val="Cambria Math"/>
  </m:mathPr>
  <w:themeFontLang w:val="lv-LV"/>
  <w:clrSchemeMapping w:bg1="light1" w:t1="dark1" w:bg2="light2" w:t2="dark2" w:accent1="accent1" w:accent2="accent2" w:accent3="accent3" w:accent4="accent4" w:accent5="accent5" w:accent6="accent6" w:hyperlink="hyperlink" w:followedHyperlink="followedHyperlink"/>
  <w14:docId w14:val="2D563AB0"/>
  <w15:chartTrackingRefBased/>
  <w15:docId w15:val="{6E469B5D-41BB-4FF5-BA36-28AFAD8B3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CD5"/>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52EC"/>
    <w:pPr>
      <w:tabs>
        <w:tab w:val="center" w:pos="4153"/>
        <w:tab w:val="right" w:pos="8306"/>
      </w:tabs>
      <w:spacing w:after="0" w:line="240" w:lineRule="auto"/>
    </w:pPr>
  </w:style>
  <w:style w:type="character" w:customStyle="1" w:styleId="HeaderChar">
    <w:name w:val="Header Char"/>
    <w:basedOn w:val="DefaultParagraphFont"/>
    <w:link w:val="Header"/>
    <w:uiPriority w:val="99"/>
    <w:rsid w:val="006952EC"/>
  </w:style>
  <w:style w:type="paragraph" w:styleId="Footer">
    <w:name w:val="footer"/>
    <w:basedOn w:val="Normal"/>
    <w:link w:val="FooterChar"/>
    <w:uiPriority w:val="99"/>
    <w:unhideWhenUsed/>
    <w:rsid w:val="006952EC"/>
    <w:pPr>
      <w:tabs>
        <w:tab w:val="center" w:pos="4153"/>
        <w:tab w:val="right" w:pos="8306"/>
      </w:tabs>
      <w:spacing w:after="0" w:line="240" w:lineRule="auto"/>
    </w:pPr>
  </w:style>
  <w:style w:type="character" w:customStyle="1" w:styleId="FooterChar">
    <w:name w:val="Footer Char"/>
    <w:basedOn w:val="DefaultParagraphFont"/>
    <w:link w:val="Footer"/>
    <w:uiPriority w:val="99"/>
    <w:rsid w:val="006952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theme" Target="theme/theme1.xml" /><Relationship Id="rId7" Type="http://schemas.openxmlformats.org/officeDocument/2006/relationships/styles" Target="styles.xml" /></Relationships>
</file>

<file path=word/_rels/header2.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423</Words>
  <Characters>2416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zva</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Aija Tamsone</dc:creator>
  <cp:lastModifiedBy>Ruta Menteleva</cp:lastModifiedBy>
  <cp:revision>5</cp:revision>
  <dcterms:created xsi:type="dcterms:W3CDTF">2020-12-29T10:11:00Z</dcterms:created>
  <dcterms:modified xsi:type="dcterms:W3CDTF">2021-09-20T13:44:00Z</dcterms:modified>
</cp:coreProperties>
</file>